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3B9C" w14:textId="77777777" w:rsidR="00FE067E" w:rsidRPr="00700D22" w:rsidRDefault="003C6034" w:rsidP="00CC1F3B">
      <w:pPr>
        <w:pStyle w:val="TitlePageOrigin"/>
        <w:rPr>
          <w:color w:val="auto"/>
        </w:rPr>
      </w:pPr>
      <w:r w:rsidRPr="00700D22">
        <w:rPr>
          <w:caps w:val="0"/>
          <w:color w:val="auto"/>
        </w:rPr>
        <w:t>WEST VIRGINIA LEGISLATURE</w:t>
      </w:r>
    </w:p>
    <w:p w14:paraId="39BF94E8" w14:textId="77777777" w:rsidR="00CD36CF" w:rsidRPr="00700D22" w:rsidRDefault="00CD36CF" w:rsidP="00CC1F3B">
      <w:pPr>
        <w:pStyle w:val="TitlePageSession"/>
        <w:rPr>
          <w:color w:val="auto"/>
        </w:rPr>
      </w:pPr>
      <w:r w:rsidRPr="00700D22">
        <w:rPr>
          <w:color w:val="auto"/>
        </w:rPr>
        <w:t>20</w:t>
      </w:r>
      <w:r w:rsidR="00EC5E63" w:rsidRPr="00700D22">
        <w:rPr>
          <w:color w:val="auto"/>
        </w:rPr>
        <w:t>2</w:t>
      </w:r>
      <w:r w:rsidR="00C62327" w:rsidRPr="00700D22">
        <w:rPr>
          <w:color w:val="auto"/>
        </w:rPr>
        <w:t>4</w:t>
      </w:r>
      <w:r w:rsidRPr="00700D22">
        <w:rPr>
          <w:color w:val="auto"/>
        </w:rPr>
        <w:t xml:space="preserve"> </w:t>
      </w:r>
      <w:r w:rsidR="003C6034" w:rsidRPr="00700D22">
        <w:rPr>
          <w:caps w:val="0"/>
          <w:color w:val="auto"/>
        </w:rPr>
        <w:t>REGULAR SESSION</w:t>
      </w:r>
    </w:p>
    <w:p w14:paraId="05C05BD5" w14:textId="77777777" w:rsidR="00CD36CF" w:rsidRPr="00700D22" w:rsidRDefault="00375DDE" w:rsidP="00CC1F3B">
      <w:pPr>
        <w:pStyle w:val="TitlePageBillPrefix"/>
        <w:rPr>
          <w:color w:val="auto"/>
        </w:rPr>
      </w:pPr>
      <w:sdt>
        <w:sdtPr>
          <w:rPr>
            <w:color w:val="auto"/>
          </w:rPr>
          <w:tag w:val="IntroDate"/>
          <w:id w:val="-1236936958"/>
          <w:placeholder>
            <w:docPart w:val="CD32847183F74CC6B61CFC68C7DFB802"/>
          </w:placeholder>
          <w:text/>
        </w:sdtPr>
        <w:sdtEndPr/>
        <w:sdtContent>
          <w:r w:rsidR="00AE48A0" w:rsidRPr="00700D22">
            <w:rPr>
              <w:color w:val="auto"/>
            </w:rPr>
            <w:t>Introduced</w:t>
          </w:r>
        </w:sdtContent>
      </w:sdt>
    </w:p>
    <w:p w14:paraId="3F8F9BCC" w14:textId="552E1E7C" w:rsidR="00CD36CF" w:rsidRPr="00700D22" w:rsidRDefault="00375DDE" w:rsidP="00CC1F3B">
      <w:pPr>
        <w:pStyle w:val="BillNumber"/>
        <w:rPr>
          <w:color w:val="auto"/>
        </w:rPr>
      </w:pPr>
      <w:sdt>
        <w:sdtPr>
          <w:rPr>
            <w:color w:val="auto"/>
          </w:rPr>
          <w:tag w:val="Chamber"/>
          <w:id w:val="893011969"/>
          <w:lock w:val="sdtLocked"/>
          <w:placeholder>
            <w:docPart w:val="01AF89E960D24B78AB4682635D01F972"/>
          </w:placeholder>
          <w:dropDownList>
            <w:listItem w:displayText="House" w:value="House"/>
            <w:listItem w:displayText="Senate" w:value="Senate"/>
          </w:dropDownList>
        </w:sdtPr>
        <w:sdtEndPr/>
        <w:sdtContent>
          <w:r w:rsidR="00C33434" w:rsidRPr="00700D22">
            <w:rPr>
              <w:color w:val="auto"/>
            </w:rPr>
            <w:t>House</w:t>
          </w:r>
        </w:sdtContent>
      </w:sdt>
      <w:r w:rsidR="00303684" w:rsidRPr="00700D22">
        <w:rPr>
          <w:color w:val="auto"/>
        </w:rPr>
        <w:t xml:space="preserve"> </w:t>
      </w:r>
      <w:r w:rsidR="00CD36CF" w:rsidRPr="00700D22">
        <w:rPr>
          <w:color w:val="auto"/>
        </w:rPr>
        <w:t xml:space="preserve">Bill </w:t>
      </w:r>
      <w:sdt>
        <w:sdtPr>
          <w:rPr>
            <w:color w:val="auto"/>
          </w:rPr>
          <w:tag w:val="BNum"/>
          <w:id w:val="1645317809"/>
          <w:lock w:val="sdtLocked"/>
          <w:placeholder>
            <w:docPart w:val="4139CEBCE8BD4190AA37B4AEFB6F876C"/>
          </w:placeholder>
          <w:text/>
        </w:sdtPr>
        <w:sdtEndPr/>
        <w:sdtContent>
          <w:r w:rsidR="00CF1358">
            <w:rPr>
              <w:color w:val="auto"/>
            </w:rPr>
            <w:t>4342</w:t>
          </w:r>
        </w:sdtContent>
      </w:sdt>
    </w:p>
    <w:p w14:paraId="0358BB67" w14:textId="44911911" w:rsidR="00CD36CF" w:rsidRPr="00700D22" w:rsidRDefault="00CD36CF" w:rsidP="00CC1F3B">
      <w:pPr>
        <w:pStyle w:val="Sponsors"/>
        <w:rPr>
          <w:color w:val="auto"/>
        </w:rPr>
      </w:pPr>
      <w:r w:rsidRPr="00700D22">
        <w:rPr>
          <w:color w:val="auto"/>
        </w:rPr>
        <w:t xml:space="preserve">By </w:t>
      </w:r>
      <w:sdt>
        <w:sdtPr>
          <w:rPr>
            <w:color w:val="auto"/>
          </w:rPr>
          <w:tag w:val="Sponsors"/>
          <w:id w:val="1589585889"/>
          <w:placeholder>
            <w:docPart w:val="E1C9A2E923324F7A9727C8C866048590"/>
          </w:placeholder>
          <w:text w:multiLine="1"/>
        </w:sdtPr>
        <w:sdtEndPr/>
        <w:sdtContent>
          <w:r w:rsidR="009378E6" w:rsidRPr="00700D22">
            <w:rPr>
              <w:color w:val="auto"/>
            </w:rPr>
            <w:t>Delegate C. Pritt</w:t>
          </w:r>
        </w:sdtContent>
      </w:sdt>
    </w:p>
    <w:p w14:paraId="7E1A0D2B" w14:textId="1DC6774E" w:rsidR="00E831B3" w:rsidRPr="00700D22" w:rsidRDefault="00CD36CF" w:rsidP="00CC1F3B">
      <w:pPr>
        <w:pStyle w:val="References"/>
        <w:rPr>
          <w:color w:val="auto"/>
        </w:rPr>
      </w:pPr>
      <w:r w:rsidRPr="00700D22">
        <w:rPr>
          <w:color w:val="auto"/>
        </w:rPr>
        <w:t>[</w:t>
      </w:r>
      <w:sdt>
        <w:sdtPr>
          <w:rPr>
            <w:color w:val="auto"/>
          </w:rPr>
          <w:tag w:val="References"/>
          <w:id w:val="-1043047873"/>
          <w:placeholder>
            <w:docPart w:val="4A60D859583744219CB1AA9D8B6FF035"/>
          </w:placeholder>
          <w:text w:multiLine="1"/>
        </w:sdtPr>
        <w:sdtContent>
          <w:r w:rsidR="00375DDE" w:rsidRPr="00375DDE">
            <w:rPr>
              <w:color w:val="auto"/>
            </w:rPr>
            <w:t>Introduced</w:t>
          </w:r>
          <w:r w:rsidR="00375DDE" w:rsidRPr="00375DDE">
            <w:rPr>
              <w:color w:val="auto"/>
            </w:rPr>
            <w:t xml:space="preserve"> </w:t>
          </w:r>
          <w:r w:rsidR="00375DDE" w:rsidRPr="00375DDE">
            <w:rPr>
              <w:color w:val="auto"/>
            </w:rPr>
            <w:t>January 10, 2024  ; Referred</w:t>
          </w:r>
          <w:r w:rsidR="00375DDE" w:rsidRPr="00375DDE">
            <w:rPr>
              <w:color w:val="auto"/>
            </w:rPr>
            <w:br/>
            <w:t>to the Committee on Banking and Insurance then Finance</w:t>
          </w:r>
        </w:sdtContent>
      </w:sdt>
      <w:r w:rsidRPr="00700D22">
        <w:rPr>
          <w:color w:val="auto"/>
        </w:rPr>
        <w:t>]</w:t>
      </w:r>
    </w:p>
    <w:p w14:paraId="48783803" w14:textId="6D537B01" w:rsidR="00303684" w:rsidRPr="00700D22" w:rsidRDefault="0000526A" w:rsidP="00CC1F3B">
      <w:pPr>
        <w:pStyle w:val="TitleSection"/>
        <w:rPr>
          <w:color w:val="auto"/>
        </w:rPr>
      </w:pPr>
      <w:r w:rsidRPr="00700D22">
        <w:rPr>
          <w:color w:val="auto"/>
        </w:rPr>
        <w:lastRenderedPageBreak/>
        <w:t>A BILL</w:t>
      </w:r>
      <w:r w:rsidR="000D6F18" w:rsidRPr="00700D22">
        <w:rPr>
          <w:color w:val="auto"/>
        </w:rPr>
        <w:t xml:space="preserve"> to amend the Code of West Virginia, 1931, as amended, by adding thereto a new article, designated §11-29-1, §11-29-2, §11-29-3, and §11-29-4, all relating to creating the "Legal Tender Act;" establishing gold and silver as legal tender in West Virginia; creating a nonrefundable tax credit for the use of gold and silver in West Virginia; and creating a sales tax credit for the use of gold and silver as legal tender.</w:t>
      </w:r>
    </w:p>
    <w:p w14:paraId="47099BA3" w14:textId="77777777" w:rsidR="00303684" w:rsidRPr="00700D22" w:rsidRDefault="00303684" w:rsidP="00CC1F3B">
      <w:pPr>
        <w:pStyle w:val="EnactingClause"/>
        <w:rPr>
          <w:color w:val="auto"/>
        </w:rPr>
      </w:pPr>
      <w:r w:rsidRPr="00700D22">
        <w:rPr>
          <w:color w:val="auto"/>
        </w:rPr>
        <w:t>Be it enacted by the Legislature of West Virginia:</w:t>
      </w:r>
    </w:p>
    <w:p w14:paraId="56A4A02B" w14:textId="77777777" w:rsidR="003C6034" w:rsidRPr="00700D22" w:rsidRDefault="003C6034" w:rsidP="00CC1F3B">
      <w:pPr>
        <w:pStyle w:val="EnactingClause"/>
        <w:rPr>
          <w:color w:val="auto"/>
        </w:rPr>
        <w:sectPr w:rsidR="003C6034" w:rsidRPr="00700D2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AB8719" w14:textId="77777777" w:rsidR="000D6F18" w:rsidRPr="00700D22" w:rsidRDefault="000D6F18" w:rsidP="000D6F18">
      <w:pPr>
        <w:pStyle w:val="ArticleHeading"/>
        <w:rPr>
          <w:color w:val="auto"/>
          <w:u w:val="single"/>
        </w:rPr>
        <w:sectPr w:rsidR="000D6F18" w:rsidRPr="00700D22" w:rsidSect="00027AE9">
          <w:type w:val="continuous"/>
          <w:pgSz w:w="12240" w:h="15840" w:code="1"/>
          <w:pgMar w:top="1440" w:right="1440" w:bottom="1440" w:left="1440" w:header="720" w:footer="720" w:gutter="0"/>
          <w:lnNumType w:countBy="1" w:restart="newSection"/>
          <w:cols w:space="720"/>
          <w:titlePg/>
          <w:docGrid w:linePitch="360"/>
        </w:sectPr>
      </w:pPr>
      <w:r w:rsidRPr="00700D22">
        <w:rPr>
          <w:color w:val="auto"/>
          <w:u w:val="single"/>
        </w:rPr>
        <w:t>ARTICLE 29. Legal Tender act.</w:t>
      </w:r>
    </w:p>
    <w:p w14:paraId="0CACF002" w14:textId="77777777" w:rsidR="000D6F18" w:rsidRPr="00700D22" w:rsidRDefault="000D6F18" w:rsidP="000D6F18">
      <w:pPr>
        <w:pStyle w:val="SectionHeading"/>
        <w:rPr>
          <w:color w:val="auto"/>
          <w:u w:val="single"/>
        </w:rPr>
        <w:sectPr w:rsidR="000D6F18" w:rsidRPr="00700D22" w:rsidSect="00027AE9">
          <w:type w:val="continuous"/>
          <w:pgSz w:w="12240" w:h="15840" w:code="1"/>
          <w:pgMar w:top="1440" w:right="1440" w:bottom="1440" w:left="1440" w:header="720" w:footer="720" w:gutter="0"/>
          <w:lnNumType w:countBy="1" w:restart="newSection"/>
          <w:cols w:space="720"/>
          <w:docGrid w:linePitch="360"/>
        </w:sectPr>
      </w:pPr>
      <w:r w:rsidRPr="00700D22">
        <w:rPr>
          <w:color w:val="auto"/>
          <w:u w:val="single"/>
        </w:rPr>
        <w:t>§11-29-1. Short title.</w:t>
      </w:r>
    </w:p>
    <w:p w14:paraId="64C31386" w14:textId="77777777" w:rsidR="000D6F18" w:rsidRPr="00700D22" w:rsidRDefault="000D6F18" w:rsidP="000D6F18">
      <w:pPr>
        <w:pStyle w:val="SectionBody"/>
        <w:rPr>
          <w:color w:val="auto"/>
          <w:u w:val="single"/>
        </w:rPr>
      </w:pPr>
      <w:r w:rsidRPr="00700D22">
        <w:rPr>
          <w:color w:val="auto"/>
          <w:u w:val="single"/>
        </w:rPr>
        <w:t>This article shall be known as the "Legal Tender Act."</w:t>
      </w:r>
    </w:p>
    <w:p w14:paraId="24578638" w14:textId="77777777" w:rsidR="000D6F18" w:rsidRPr="00700D22" w:rsidRDefault="000D6F18" w:rsidP="000D6F18">
      <w:pPr>
        <w:pStyle w:val="SectionHeading"/>
        <w:rPr>
          <w:color w:val="auto"/>
          <w:u w:val="single"/>
        </w:rPr>
        <w:sectPr w:rsidR="000D6F18" w:rsidRPr="00700D22" w:rsidSect="00027AE9">
          <w:type w:val="continuous"/>
          <w:pgSz w:w="12240" w:h="15840" w:code="1"/>
          <w:pgMar w:top="1440" w:right="1440" w:bottom="1440" w:left="1440" w:header="720" w:footer="720" w:gutter="0"/>
          <w:lnNumType w:countBy="1" w:restart="newSection"/>
          <w:cols w:space="720"/>
          <w:docGrid w:linePitch="360"/>
        </w:sectPr>
      </w:pPr>
      <w:r w:rsidRPr="00700D22">
        <w:rPr>
          <w:color w:val="auto"/>
          <w:u w:val="single"/>
        </w:rPr>
        <w:t>§11-29-2. Recognizing gold and silver as legal tender in West Virginia.</w:t>
      </w:r>
    </w:p>
    <w:p w14:paraId="3B92EA3E" w14:textId="77777777" w:rsidR="000D6F18" w:rsidRPr="00700D22" w:rsidRDefault="000D6F18" w:rsidP="000D6F18">
      <w:pPr>
        <w:pStyle w:val="SectionBody"/>
        <w:rPr>
          <w:color w:val="auto"/>
          <w:u w:val="single"/>
        </w:rPr>
      </w:pPr>
      <w:r w:rsidRPr="00700D22">
        <w:rPr>
          <w:color w:val="auto"/>
          <w:u w:val="single"/>
        </w:rPr>
        <w:t>(a) Gold and silver coin issued by the federal government is legal tender in this state.</w:t>
      </w:r>
    </w:p>
    <w:p w14:paraId="0E312ED5" w14:textId="77777777" w:rsidR="000D6F18" w:rsidRPr="00700D22" w:rsidRDefault="000D6F18" w:rsidP="000D6F18">
      <w:pPr>
        <w:pStyle w:val="SectionBody"/>
        <w:rPr>
          <w:color w:val="auto"/>
          <w:u w:val="single"/>
        </w:rPr>
      </w:pPr>
      <w:r w:rsidRPr="00700D22">
        <w:rPr>
          <w:color w:val="auto"/>
          <w:u w:val="single"/>
        </w:rPr>
        <w:t>(b) A person may not compel any other person to tender or accept gold and silver coin that is issued by the federal government.</w:t>
      </w:r>
    </w:p>
    <w:p w14:paraId="0FDE60D9" w14:textId="77777777" w:rsidR="000D6F18" w:rsidRPr="00700D22" w:rsidRDefault="000D6F18" w:rsidP="000D6F18">
      <w:pPr>
        <w:pStyle w:val="SectionHeading"/>
        <w:rPr>
          <w:color w:val="auto"/>
          <w:u w:val="single"/>
        </w:rPr>
        <w:sectPr w:rsidR="000D6F18" w:rsidRPr="00700D22" w:rsidSect="00027AE9">
          <w:type w:val="continuous"/>
          <w:pgSz w:w="12240" w:h="15840" w:code="1"/>
          <w:pgMar w:top="1440" w:right="1440" w:bottom="1440" w:left="1440" w:header="720" w:footer="720" w:gutter="0"/>
          <w:lnNumType w:countBy="1" w:restart="newSection"/>
          <w:cols w:space="720"/>
          <w:docGrid w:linePitch="360"/>
        </w:sectPr>
      </w:pPr>
      <w:r w:rsidRPr="00700D22">
        <w:rPr>
          <w:color w:val="auto"/>
          <w:u w:val="single"/>
        </w:rPr>
        <w:t>§11-29-3. Nonrefundable tax credit for capital gain transactions on exchange of gold and silver for another coin or form of legal tender.</w:t>
      </w:r>
    </w:p>
    <w:p w14:paraId="61361289" w14:textId="77777777" w:rsidR="000D6F18" w:rsidRPr="00700D22" w:rsidRDefault="000D6F18" w:rsidP="000D6F18">
      <w:pPr>
        <w:pStyle w:val="SectionBody"/>
        <w:rPr>
          <w:color w:val="auto"/>
          <w:u w:val="single"/>
        </w:rPr>
      </w:pPr>
      <w:r w:rsidRPr="00700D22">
        <w:rPr>
          <w:color w:val="auto"/>
          <w:u w:val="single"/>
        </w:rPr>
        <w:t>(a) As used in this section:</w:t>
      </w:r>
    </w:p>
    <w:p w14:paraId="72720A54" w14:textId="77777777" w:rsidR="000D6F18" w:rsidRPr="00700D22" w:rsidRDefault="000D6F18" w:rsidP="000D6F18">
      <w:pPr>
        <w:pStyle w:val="SectionBody"/>
        <w:rPr>
          <w:color w:val="auto"/>
          <w:u w:val="single"/>
        </w:rPr>
      </w:pPr>
      <w:r w:rsidRPr="00700D22">
        <w:rPr>
          <w:color w:val="auto"/>
          <w:u w:val="single"/>
        </w:rPr>
        <w:t>(1) "Capital gain transaction" means a transaction that results in a:</w:t>
      </w:r>
    </w:p>
    <w:p w14:paraId="1C031C53" w14:textId="77777777" w:rsidR="000D6F18" w:rsidRPr="00700D22" w:rsidRDefault="000D6F18" w:rsidP="000D6F18">
      <w:pPr>
        <w:pStyle w:val="SectionBody"/>
        <w:rPr>
          <w:color w:val="auto"/>
          <w:u w:val="single"/>
        </w:rPr>
      </w:pPr>
      <w:r w:rsidRPr="00700D22">
        <w:rPr>
          <w:color w:val="auto"/>
          <w:u w:val="single"/>
        </w:rPr>
        <w:t>(i) Short-term capital gain; or</w:t>
      </w:r>
    </w:p>
    <w:p w14:paraId="3E624D88" w14:textId="77777777" w:rsidR="000D6F18" w:rsidRPr="00700D22" w:rsidRDefault="000D6F18" w:rsidP="000D6F18">
      <w:pPr>
        <w:pStyle w:val="SectionBody"/>
        <w:rPr>
          <w:color w:val="auto"/>
          <w:u w:val="single"/>
        </w:rPr>
      </w:pPr>
      <w:r w:rsidRPr="00700D22">
        <w:rPr>
          <w:color w:val="auto"/>
          <w:u w:val="single"/>
        </w:rPr>
        <w:t>(ii) Long-term capital gain.</w:t>
      </w:r>
    </w:p>
    <w:p w14:paraId="5C4528C8" w14:textId="77777777" w:rsidR="000D6F18" w:rsidRPr="00700D22" w:rsidRDefault="000D6F18" w:rsidP="000D6F18">
      <w:pPr>
        <w:pStyle w:val="SectionBody"/>
        <w:rPr>
          <w:color w:val="auto"/>
          <w:u w:val="single"/>
        </w:rPr>
      </w:pPr>
      <w:r w:rsidRPr="00700D22">
        <w:rPr>
          <w:color w:val="auto"/>
          <w:u w:val="single"/>
        </w:rPr>
        <w:t>(2) "Long-term capital gain" is as defined in Section 1222, Internal Revenue Code.</w:t>
      </w:r>
    </w:p>
    <w:p w14:paraId="643A5A58" w14:textId="77777777" w:rsidR="000D6F18" w:rsidRPr="00700D22" w:rsidRDefault="000D6F18" w:rsidP="000D6F18">
      <w:pPr>
        <w:pStyle w:val="SectionBody"/>
        <w:rPr>
          <w:color w:val="auto"/>
          <w:u w:val="single"/>
        </w:rPr>
      </w:pPr>
      <w:r w:rsidRPr="00700D22">
        <w:rPr>
          <w:color w:val="auto"/>
          <w:u w:val="single"/>
        </w:rPr>
        <w:t>(3) "Short-term capital gain" is as defined in Section 1222, Internal Revenue Code.</w:t>
      </w:r>
    </w:p>
    <w:p w14:paraId="2DA8CC12" w14:textId="6E01A82D" w:rsidR="000D6F18" w:rsidRPr="00700D22" w:rsidRDefault="000D6F18" w:rsidP="000D6F18">
      <w:pPr>
        <w:pStyle w:val="SectionBody"/>
        <w:rPr>
          <w:color w:val="auto"/>
          <w:u w:val="single"/>
        </w:rPr>
      </w:pPr>
      <w:r w:rsidRPr="00700D22">
        <w:rPr>
          <w:color w:val="auto"/>
          <w:u w:val="single"/>
        </w:rPr>
        <w:t>(b) Except as provided otherwise, for taxable years beginning on or after January 1, 2024, a claimant, estate, or trust may claim a nonrefundable tax credit equal to the product of:</w:t>
      </w:r>
    </w:p>
    <w:p w14:paraId="3FA989CF" w14:textId="516199DE" w:rsidR="000D6F18" w:rsidRPr="00700D22" w:rsidRDefault="000D6F18" w:rsidP="000D6F18">
      <w:pPr>
        <w:pStyle w:val="SectionBody"/>
        <w:rPr>
          <w:color w:val="auto"/>
          <w:u w:val="single"/>
        </w:rPr>
      </w:pPr>
      <w:r w:rsidRPr="00700D22">
        <w:rPr>
          <w:color w:val="auto"/>
          <w:u w:val="single"/>
        </w:rPr>
        <w:t xml:space="preserve">(1) To the extent a capital gain is not offset by a capital loss under Chapter 1, Subchapter P, Capital Gains and Losses, Internal Revenue Code, the total amount of the claimant’s, estate’s, or trust’s short-term capital gain or long-term capital gain on a capital gain transaction from an </w:t>
      </w:r>
      <w:r w:rsidRPr="00700D22">
        <w:rPr>
          <w:color w:val="auto"/>
          <w:u w:val="single"/>
        </w:rPr>
        <w:lastRenderedPageBreak/>
        <w:t>exchange made on or after January 1, 2024, of gold or silver coin issued by the federal government for another form of legal tender; and</w:t>
      </w:r>
    </w:p>
    <w:p w14:paraId="661897AC" w14:textId="77777777" w:rsidR="000D6F18" w:rsidRPr="00700D22" w:rsidRDefault="000D6F18" w:rsidP="000D6F18">
      <w:pPr>
        <w:pStyle w:val="SectionBody"/>
        <w:rPr>
          <w:color w:val="auto"/>
          <w:u w:val="single"/>
        </w:rPr>
      </w:pPr>
      <w:r w:rsidRPr="00700D22">
        <w:rPr>
          <w:color w:val="auto"/>
          <w:u w:val="single"/>
        </w:rPr>
        <w:t>(2) Five percent.</w:t>
      </w:r>
    </w:p>
    <w:p w14:paraId="587F9AA4" w14:textId="77777777" w:rsidR="000D6F18" w:rsidRPr="00700D22" w:rsidRDefault="000D6F18" w:rsidP="000D6F18">
      <w:pPr>
        <w:pStyle w:val="SectionBody"/>
        <w:rPr>
          <w:color w:val="auto"/>
          <w:u w:val="single"/>
        </w:rPr>
      </w:pPr>
      <w:r w:rsidRPr="00700D22">
        <w:rPr>
          <w:color w:val="auto"/>
          <w:u w:val="single"/>
        </w:rPr>
        <w:t>(c) A claimant, estate, or trust may not carry forward or carry back a tax credit under this section.</w:t>
      </w:r>
    </w:p>
    <w:p w14:paraId="325C7AC4" w14:textId="77777777" w:rsidR="000D6F18" w:rsidRPr="00700D22" w:rsidRDefault="000D6F18" w:rsidP="000D6F18">
      <w:pPr>
        <w:pStyle w:val="SectionHeading"/>
        <w:rPr>
          <w:rStyle w:val="SectionHeadingChar"/>
          <w:b/>
          <w:color w:val="auto"/>
          <w:u w:val="single"/>
        </w:rPr>
        <w:sectPr w:rsidR="000D6F18" w:rsidRPr="00700D22" w:rsidSect="00027AE9">
          <w:type w:val="continuous"/>
          <w:pgSz w:w="12240" w:h="15840" w:code="1"/>
          <w:pgMar w:top="1440" w:right="1440" w:bottom="1440" w:left="1440" w:header="720" w:footer="720" w:gutter="0"/>
          <w:lnNumType w:countBy="1" w:restart="newSection"/>
          <w:cols w:space="720"/>
          <w:docGrid w:linePitch="360"/>
        </w:sectPr>
      </w:pPr>
      <w:r w:rsidRPr="00700D22">
        <w:rPr>
          <w:rStyle w:val="SectionHeadingChar"/>
          <w:b/>
          <w:color w:val="auto"/>
          <w:u w:val="single"/>
        </w:rPr>
        <w:t>§11-29-4. Nonrefundable tax credit on sales tax for gold and silver.</w:t>
      </w:r>
    </w:p>
    <w:p w14:paraId="20DE8E57" w14:textId="77777777" w:rsidR="000D6F18" w:rsidRPr="00700D22" w:rsidRDefault="000D6F18" w:rsidP="000D6F18">
      <w:pPr>
        <w:pStyle w:val="SectionBody"/>
        <w:rPr>
          <w:color w:val="auto"/>
          <w:u w:val="single"/>
        </w:rPr>
      </w:pPr>
      <w:r w:rsidRPr="00700D22">
        <w:rPr>
          <w:color w:val="auto"/>
          <w:u w:val="single"/>
        </w:rPr>
        <w:t>(a) There is a nonrefundable credit established for any capital gains incurred from the exchange of gold and silver coin issued by the federal government for another form of legal tender as otherwise provided.</w:t>
      </w:r>
    </w:p>
    <w:p w14:paraId="04A1774D" w14:textId="150770FB" w:rsidR="008736AA" w:rsidRPr="00700D22" w:rsidRDefault="000D6F18" w:rsidP="000D6F18">
      <w:pPr>
        <w:pStyle w:val="SectionBody"/>
        <w:rPr>
          <w:color w:val="auto"/>
        </w:rPr>
      </w:pPr>
      <w:r w:rsidRPr="00700D22">
        <w:rPr>
          <w:color w:val="auto"/>
          <w:u w:val="single"/>
        </w:rPr>
        <w:t>(b) The exchange of gold and silver coin issued by the federal government for another form of legal tender is exempt from sales and use taxes as otherwise provided in this code.</w:t>
      </w:r>
    </w:p>
    <w:p w14:paraId="416A8B1B" w14:textId="77777777" w:rsidR="00C33014" w:rsidRPr="00700D22" w:rsidRDefault="00C33014" w:rsidP="00CC1F3B">
      <w:pPr>
        <w:pStyle w:val="Note"/>
        <w:rPr>
          <w:color w:val="auto"/>
        </w:rPr>
      </w:pPr>
    </w:p>
    <w:p w14:paraId="2F676540" w14:textId="72D4396F" w:rsidR="006865E9" w:rsidRPr="00700D22" w:rsidRDefault="00CF1DCA" w:rsidP="00CC1F3B">
      <w:pPr>
        <w:pStyle w:val="Note"/>
        <w:rPr>
          <w:color w:val="auto"/>
        </w:rPr>
      </w:pPr>
      <w:r w:rsidRPr="00700D22">
        <w:rPr>
          <w:color w:val="auto"/>
        </w:rPr>
        <w:t>NOTE: The</w:t>
      </w:r>
      <w:r w:rsidR="006865E9" w:rsidRPr="00700D22">
        <w:rPr>
          <w:color w:val="auto"/>
        </w:rPr>
        <w:t xml:space="preserve"> purpose of this bill is to </w:t>
      </w:r>
      <w:r w:rsidR="000D6F18" w:rsidRPr="00700D22">
        <w:rPr>
          <w:color w:val="auto"/>
        </w:rPr>
        <w:t>create the Legal Tender Act, establish gold and silver as legal tender in West Virginia, and to allow for tax credits for capital gains when gold and silver are used.</w:t>
      </w:r>
    </w:p>
    <w:p w14:paraId="2CA404F2" w14:textId="77777777" w:rsidR="006865E9" w:rsidRPr="00700D22" w:rsidRDefault="00AE48A0" w:rsidP="00CC1F3B">
      <w:pPr>
        <w:pStyle w:val="Note"/>
        <w:rPr>
          <w:color w:val="auto"/>
        </w:rPr>
      </w:pPr>
      <w:r w:rsidRPr="00700D22">
        <w:rPr>
          <w:color w:val="auto"/>
        </w:rPr>
        <w:t>Strike-throughs indicate language that would be stricken from a heading or the present law and underscoring indicates new language that would be added.</w:t>
      </w:r>
    </w:p>
    <w:sectPr w:rsidR="006865E9" w:rsidRPr="00700D2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BDB1" w14:textId="77777777" w:rsidR="000D6F18" w:rsidRPr="00B844FE" w:rsidRDefault="000D6F18" w:rsidP="00B844FE">
      <w:r>
        <w:separator/>
      </w:r>
    </w:p>
  </w:endnote>
  <w:endnote w:type="continuationSeparator" w:id="0">
    <w:p w14:paraId="559A5D11" w14:textId="77777777" w:rsidR="000D6F18" w:rsidRPr="00B844FE" w:rsidRDefault="000D6F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CCCD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E51F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2AAAB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A7A0" w14:textId="77777777" w:rsidR="000D6F18" w:rsidRDefault="000D6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7056" w14:textId="77777777" w:rsidR="000D6F18" w:rsidRPr="00B844FE" w:rsidRDefault="000D6F18" w:rsidP="00B844FE">
      <w:r>
        <w:separator/>
      </w:r>
    </w:p>
  </w:footnote>
  <w:footnote w:type="continuationSeparator" w:id="0">
    <w:p w14:paraId="1A02FF2D" w14:textId="77777777" w:rsidR="000D6F18" w:rsidRPr="00B844FE" w:rsidRDefault="000D6F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72BE" w14:textId="77777777" w:rsidR="002A0269" w:rsidRPr="00B844FE" w:rsidRDefault="00375DDE">
    <w:pPr>
      <w:pStyle w:val="Header"/>
    </w:pPr>
    <w:sdt>
      <w:sdtPr>
        <w:id w:val="-684364211"/>
        <w:placeholder>
          <w:docPart w:val="01AF89E960D24B78AB4682635D01F97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1AF89E960D24B78AB4682635D01F97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D885" w14:textId="650B555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D6F1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D6F18">
          <w:rPr>
            <w:sz w:val="22"/>
            <w:szCs w:val="22"/>
          </w:rPr>
          <w:t>2024R1615</w:t>
        </w:r>
      </w:sdtContent>
    </w:sdt>
  </w:p>
  <w:p w14:paraId="25F0557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AF3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18"/>
    <w:rsid w:val="0000526A"/>
    <w:rsid w:val="000573A9"/>
    <w:rsid w:val="00085D22"/>
    <w:rsid w:val="00093AB0"/>
    <w:rsid w:val="000C5C77"/>
    <w:rsid w:val="000D6F18"/>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5DDE"/>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0D22"/>
    <w:rsid w:val="007A5259"/>
    <w:rsid w:val="007A7081"/>
    <w:rsid w:val="007F1CF5"/>
    <w:rsid w:val="00834EDE"/>
    <w:rsid w:val="008736AA"/>
    <w:rsid w:val="008D275D"/>
    <w:rsid w:val="009378E6"/>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358"/>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4CD2A"/>
  <w15:chartTrackingRefBased/>
  <w15:docId w15:val="{3CC8E444-4AD7-4631-B327-8A57A7A8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D6F18"/>
    <w:rPr>
      <w:rFonts w:eastAsia="Calibri"/>
      <w:b/>
      <w:caps/>
      <w:color w:val="000000"/>
      <w:sz w:val="24"/>
    </w:rPr>
  </w:style>
  <w:style w:type="character" w:customStyle="1" w:styleId="SectionBodyChar">
    <w:name w:val="Section Body Char"/>
    <w:link w:val="SectionBody"/>
    <w:rsid w:val="000D6F18"/>
    <w:rPr>
      <w:rFonts w:eastAsia="Calibri"/>
      <w:color w:val="000000"/>
    </w:rPr>
  </w:style>
  <w:style w:type="character" w:customStyle="1" w:styleId="SectionHeadingChar">
    <w:name w:val="Section Heading Char"/>
    <w:link w:val="SectionHeading"/>
    <w:rsid w:val="000D6F1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2847183F74CC6B61CFC68C7DFB802"/>
        <w:category>
          <w:name w:val="General"/>
          <w:gallery w:val="placeholder"/>
        </w:category>
        <w:types>
          <w:type w:val="bbPlcHdr"/>
        </w:types>
        <w:behaviors>
          <w:behavior w:val="content"/>
        </w:behaviors>
        <w:guid w:val="{EE9D484C-0C00-4BA7-A7A4-F97252801225}"/>
      </w:docPartPr>
      <w:docPartBody>
        <w:p w:rsidR="00EA4D31" w:rsidRDefault="00EA4D31">
          <w:pPr>
            <w:pStyle w:val="CD32847183F74CC6B61CFC68C7DFB802"/>
          </w:pPr>
          <w:r w:rsidRPr="00B844FE">
            <w:t>Prefix Text</w:t>
          </w:r>
        </w:p>
      </w:docPartBody>
    </w:docPart>
    <w:docPart>
      <w:docPartPr>
        <w:name w:val="01AF89E960D24B78AB4682635D01F972"/>
        <w:category>
          <w:name w:val="General"/>
          <w:gallery w:val="placeholder"/>
        </w:category>
        <w:types>
          <w:type w:val="bbPlcHdr"/>
        </w:types>
        <w:behaviors>
          <w:behavior w:val="content"/>
        </w:behaviors>
        <w:guid w:val="{26154066-00B6-4A60-B172-E095EDBD2D16}"/>
      </w:docPartPr>
      <w:docPartBody>
        <w:p w:rsidR="00EA4D31" w:rsidRDefault="00EA4D31">
          <w:pPr>
            <w:pStyle w:val="01AF89E960D24B78AB4682635D01F972"/>
          </w:pPr>
          <w:r w:rsidRPr="00B844FE">
            <w:t>[Type here]</w:t>
          </w:r>
        </w:p>
      </w:docPartBody>
    </w:docPart>
    <w:docPart>
      <w:docPartPr>
        <w:name w:val="4139CEBCE8BD4190AA37B4AEFB6F876C"/>
        <w:category>
          <w:name w:val="General"/>
          <w:gallery w:val="placeholder"/>
        </w:category>
        <w:types>
          <w:type w:val="bbPlcHdr"/>
        </w:types>
        <w:behaviors>
          <w:behavior w:val="content"/>
        </w:behaviors>
        <w:guid w:val="{8715F8CF-1A49-4E10-8750-C3D85D213D32}"/>
      </w:docPartPr>
      <w:docPartBody>
        <w:p w:rsidR="00EA4D31" w:rsidRDefault="00EA4D31">
          <w:pPr>
            <w:pStyle w:val="4139CEBCE8BD4190AA37B4AEFB6F876C"/>
          </w:pPr>
          <w:r w:rsidRPr="00B844FE">
            <w:t>Number</w:t>
          </w:r>
        </w:p>
      </w:docPartBody>
    </w:docPart>
    <w:docPart>
      <w:docPartPr>
        <w:name w:val="E1C9A2E923324F7A9727C8C866048590"/>
        <w:category>
          <w:name w:val="General"/>
          <w:gallery w:val="placeholder"/>
        </w:category>
        <w:types>
          <w:type w:val="bbPlcHdr"/>
        </w:types>
        <w:behaviors>
          <w:behavior w:val="content"/>
        </w:behaviors>
        <w:guid w:val="{344C5C8D-1532-4E57-ADC2-59EF10C38013}"/>
      </w:docPartPr>
      <w:docPartBody>
        <w:p w:rsidR="00EA4D31" w:rsidRDefault="00EA4D31">
          <w:pPr>
            <w:pStyle w:val="E1C9A2E923324F7A9727C8C866048590"/>
          </w:pPr>
          <w:r w:rsidRPr="00B844FE">
            <w:t>Enter Sponsors Here</w:t>
          </w:r>
        </w:p>
      </w:docPartBody>
    </w:docPart>
    <w:docPart>
      <w:docPartPr>
        <w:name w:val="4A60D859583744219CB1AA9D8B6FF035"/>
        <w:category>
          <w:name w:val="General"/>
          <w:gallery w:val="placeholder"/>
        </w:category>
        <w:types>
          <w:type w:val="bbPlcHdr"/>
        </w:types>
        <w:behaviors>
          <w:behavior w:val="content"/>
        </w:behaviors>
        <w:guid w:val="{DBAEB751-5798-423B-B5DE-DEC2FA2B5708}"/>
      </w:docPartPr>
      <w:docPartBody>
        <w:p w:rsidR="00EA4D31" w:rsidRDefault="00EA4D31">
          <w:pPr>
            <w:pStyle w:val="4A60D859583744219CB1AA9D8B6FF0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31"/>
    <w:rsid w:val="00EA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32847183F74CC6B61CFC68C7DFB802">
    <w:name w:val="CD32847183F74CC6B61CFC68C7DFB802"/>
  </w:style>
  <w:style w:type="paragraph" w:customStyle="1" w:styleId="01AF89E960D24B78AB4682635D01F972">
    <w:name w:val="01AF89E960D24B78AB4682635D01F972"/>
  </w:style>
  <w:style w:type="paragraph" w:customStyle="1" w:styleId="4139CEBCE8BD4190AA37B4AEFB6F876C">
    <w:name w:val="4139CEBCE8BD4190AA37B4AEFB6F876C"/>
  </w:style>
  <w:style w:type="paragraph" w:customStyle="1" w:styleId="E1C9A2E923324F7A9727C8C866048590">
    <w:name w:val="E1C9A2E923324F7A9727C8C866048590"/>
  </w:style>
  <w:style w:type="character" w:styleId="PlaceholderText">
    <w:name w:val="Placeholder Text"/>
    <w:basedOn w:val="DefaultParagraphFont"/>
    <w:uiPriority w:val="99"/>
    <w:semiHidden/>
    <w:rPr>
      <w:color w:val="808080"/>
    </w:rPr>
  </w:style>
  <w:style w:type="paragraph" w:customStyle="1" w:styleId="4A60D859583744219CB1AA9D8B6FF035">
    <w:name w:val="4A60D859583744219CB1AA9D8B6FF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3</cp:revision>
  <dcterms:created xsi:type="dcterms:W3CDTF">2024-01-07T20:07:00Z</dcterms:created>
  <dcterms:modified xsi:type="dcterms:W3CDTF">2024-01-08T20:47:00Z</dcterms:modified>
</cp:coreProperties>
</file>